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0FBD" w14:textId="600E3FA5" w:rsidR="00887E82" w:rsidRPr="00B149F7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  <w:b/>
          <w:bCs/>
        </w:rPr>
      </w:pPr>
      <w:r w:rsidRPr="00887E82">
        <w:rPr>
          <w:rFonts w:asciiTheme="minorHAnsi" w:hAnsiTheme="minorHAnsi" w:cstheme="minorHAnsi"/>
          <w:b/>
          <w:bCs/>
        </w:rPr>
        <w:t xml:space="preserve">Beacon </w:t>
      </w:r>
      <w:proofErr w:type="spellStart"/>
      <w:r w:rsidRPr="00887E82">
        <w:rPr>
          <w:rFonts w:asciiTheme="minorHAnsi" w:hAnsiTheme="minorHAnsi" w:cstheme="minorHAnsi"/>
          <w:b/>
          <w:bCs/>
        </w:rPr>
        <w:t>Therapeutics</w:t>
      </w:r>
      <w:proofErr w:type="spellEnd"/>
      <w:r w:rsidRPr="00887E82">
        <w:rPr>
          <w:rFonts w:asciiTheme="minorHAnsi" w:hAnsiTheme="minorHAnsi" w:cstheme="minorHAnsi"/>
          <w:b/>
          <w:bCs/>
        </w:rPr>
        <w:t xml:space="preserve"> Anuncia Resultados Interinos Positivos a Más de 9 Meses del Ensayo DAWN y Datos a 36 Meses del Ensayo Fase 2 SKYLINE para </w:t>
      </w:r>
      <w:proofErr w:type="spellStart"/>
      <w:r w:rsidRPr="00887E82">
        <w:rPr>
          <w:rFonts w:asciiTheme="minorHAnsi" w:hAnsiTheme="minorHAnsi" w:cstheme="minorHAnsi"/>
          <w:b/>
          <w:bCs/>
        </w:rPr>
        <w:t>Laru-zova</w:t>
      </w:r>
      <w:proofErr w:type="spellEnd"/>
      <w:r w:rsidRPr="00887E82">
        <w:rPr>
          <w:rFonts w:asciiTheme="minorHAnsi" w:hAnsiTheme="minorHAnsi" w:cstheme="minorHAnsi"/>
          <w:b/>
          <w:bCs/>
        </w:rPr>
        <w:t xml:space="preserve"> en </w:t>
      </w:r>
      <w:r w:rsidRPr="00B149F7">
        <w:rPr>
          <w:rFonts w:asciiTheme="minorHAnsi" w:hAnsiTheme="minorHAnsi" w:cstheme="minorHAnsi"/>
          <w:b/>
          <w:bCs/>
        </w:rPr>
        <w:t>Pacientes con Retinosis Pigmentaria Ligada al Cromosoma X (XLRP) en EURETINA 2025</w:t>
      </w:r>
    </w:p>
    <w:p w14:paraId="4396650E" w14:textId="77777777" w:rsidR="00887E82" w:rsidRPr="00B149F7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B149F7">
        <w:rPr>
          <w:rFonts w:asciiTheme="minorHAnsi" w:hAnsiTheme="minorHAnsi" w:cstheme="minorHAnsi"/>
        </w:rPr>
        <w:t xml:space="preserve">Londres y Cambridge, </w:t>
      </w:r>
      <w:proofErr w:type="spellStart"/>
      <w:r w:rsidRPr="00B149F7">
        <w:rPr>
          <w:rFonts w:asciiTheme="minorHAnsi" w:hAnsiTheme="minorHAnsi" w:cstheme="minorHAnsi"/>
        </w:rPr>
        <w:t>Mass</w:t>
      </w:r>
      <w:proofErr w:type="spellEnd"/>
      <w:r w:rsidRPr="00B149F7">
        <w:rPr>
          <w:rFonts w:asciiTheme="minorHAnsi" w:hAnsiTheme="minorHAnsi" w:cstheme="minorHAnsi"/>
        </w:rPr>
        <w:t xml:space="preserve">., 04 de septiembre de 2025 – Beacon </w:t>
      </w:r>
      <w:proofErr w:type="spellStart"/>
      <w:r w:rsidRPr="00B149F7">
        <w:rPr>
          <w:rFonts w:asciiTheme="minorHAnsi" w:hAnsiTheme="minorHAnsi" w:cstheme="minorHAnsi"/>
        </w:rPr>
        <w:t>Therapeutics</w:t>
      </w:r>
      <w:proofErr w:type="spellEnd"/>
      <w:r w:rsidRPr="00B149F7">
        <w:rPr>
          <w:rFonts w:asciiTheme="minorHAnsi" w:hAnsiTheme="minorHAnsi" w:cstheme="minorHAnsi"/>
        </w:rPr>
        <w:t xml:space="preserve"> Holdings </w:t>
      </w:r>
      <w:proofErr w:type="spellStart"/>
      <w:r w:rsidRPr="00B149F7">
        <w:rPr>
          <w:rFonts w:asciiTheme="minorHAnsi" w:hAnsiTheme="minorHAnsi" w:cstheme="minorHAnsi"/>
        </w:rPr>
        <w:t>Limited</w:t>
      </w:r>
      <w:proofErr w:type="spellEnd"/>
      <w:r w:rsidRPr="00B149F7">
        <w:rPr>
          <w:rFonts w:asciiTheme="minorHAnsi" w:hAnsiTheme="minorHAnsi" w:cstheme="minorHAnsi"/>
        </w:rPr>
        <w:t xml:space="preserve"> (“Beacon </w:t>
      </w:r>
      <w:proofErr w:type="spellStart"/>
      <w:r w:rsidRPr="00B149F7">
        <w:rPr>
          <w:rFonts w:asciiTheme="minorHAnsi" w:hAnsiTheme="minorHAnsi" w:cstheme="minorHAnsi"/>
        </w:rPr>
        <w:t>Therapeutics</w:t>
      </w:r>
      <w:proofErr w:type="spellEnd"/>
      <w:r w:rsidRPr="00B149F7">
        <w:rPr>
          <w:rFonts w:asciiTheme="minorHAnsi" w:hAnsiTheme="minorHAnsi" w:cstheme="minorHAnsi"/>
        </w:rPr>
        <w:t xml:space="preserve">” o “la Compañía”), una empresa biotecnológica en fase clínica dedicada a preservar y restaurar la visión en personas con enfermedades oculares raras y comunes, anunció hoy nuevos resultados de dos ensayos de Fase 2, SKYLINE y DAWN, evaluando su programa principal, </w:t>
      </w:r>
      <w:proofErr w:type="spellStart"/>
      <w:r w:rsidRPr="00B149F7">
        <w:rPr>
          <w:rFonts w:asciiTheme="minorHAnsi" w:hAnsiTheme="minorHAnsi" w:cstheme="minorHAnsi"/>
        </w:rPr>
        <w:t>laru-zova</w:t>
      </w:r>
      <w:proofErr w:type="spellEnd"/>
      <w:r w:rsidRPr="00B149F7">
        <w:rPr>
          <w:rFonts w:asciiTheme="minorHAnsi" w:hAnsiTheme="minorHAnsi" w:cstheme="minorHAnsi"/>
        </w:rPr>
        <w:t xml:space="preserve">, en pacientes con XLRP. Los datos demostraron que </w:t>
      </w:r>
      <w:proofErr w:type="spellStart"/>
      <w:r w:rsidRPr="00B149F7">
        <w:rPr>
          <w:rFonts w:asciiTheme="minorHAnsi" w:hAnsiTheme="minorHAnsi" w:cstheme="minorHAnsi"/>
        </w:rPr>
        <w:t>laru-zova</w:t>
      </w:r>
      <w:proofErr w:type="spellEnd"/>
      <w:r w:rsidRPr="00B149F7">
        <w:rPr>
          <w:rFonts w:asciiTheme="minorHAnsi" w:hAnsiTheme="minorHAnsi" w:cstheme="minorHAnsi"/>
        </w:rPr>
        <w:t xml:space="preserve"> fue bien tolerada por los participantes del ensayo SKYLINE hasta los 36 meses y por los del ensayo DAWN a partir de los 9 meses o más, mostrando mejoras sostenidas en varias medidas clave de función visual, incluyendo agudeza visual con baja luminosidad (LLVA) y </w:t>
      </w:r>
      <w:proofErr w:type="spellStart"/>
      <w:r w:rsidRPr="00B149F7">
        <w:rPr>
          <w:rFonts w:asciiTheme="minorHAnsi" w:hAnsiTheme="minorHAnsi" w:cstheme="minorHAnsi"/>
        </w:rPr>
        <w:t>microperimetría</w:t>
      </w:r>
      <w:proofErr w:type="spellEnd"/>
      <w:r w:rsidRPr="00B149F7">
        <w:rPr>
          <w:rFonts w:asciiTheme="minorHAnsi" w:hAnsiTheme="minorHAnsi" w:cstheme="minorHAnsi"/>
        </w:rPr>
        <w:t xml:space="preserve">. </w:t>
      </w:r>
    </w:p>
    <w:p w14:paraId="5F114E09" w14:textId="552D3D52" w:rsidR="00887E82" w:rsidRPr="00B149F7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B149F7">
        <w:rPr>
          <w:rFonts w:asciiTheme="minorHAnsi" w:hAnsiTheme="minorHAnsi" w:cstheme="minorHAnsi"/>
        </w:rPr>
        <w:t>Los resultados se presentaron en la conferencia EURETINA 2025, celebrada del 4 al 7 de septiembre en París, Francia.</w:t>
      </w:r>
    </w:p>
    <w:p w14:paraId="7D875B33" w14:textId="1C336CA5" w:rsidR="00887E82" w:rsidRPr="00B149F7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B149F7">
        <w:rPr>
          <w:rFonts w:asciiTheme="minorHAnsi" w:hAnsiTheme="minorHAnsi" w:cstheme="minorHAnsi"/>
        </w:rPr>
        <w:t xml:space="preserve">“Estamos encantados de compartir datos clave de nuestros ensayos DAWN y SKYLINE, ampliando uno de los grupos de evidencia más significativos para una terapia génica en enfermedades oculares”, afirmó Daniel Chung, D.O., M.A., </w:t>
      </w:r>
      <w:proofErr w:type="gramStart"/>
      <w:r w:rsidRPr="00B149F7">
        <w:rPr>
          <w:rFonts w:asciiTheme="minorHAnsi" w:hAnsiTheme="minorHAnsi" w:cstheme="minorHAnsi"/>
        </w:rPr>
        <w:t>Director</w:t>
      </w:r>
      <w:proofErr w:type="gramEnd"/>
      <w:r w:rsidRPr="00B149F7">
        <w:rPr>
          <w:rFonts w:asciiTheme="minorHAnsi" w:hAnsiTheme="minorHAnsi" w:cstheme="minorHAnsi"/>
        </w:rPr>
        <w:t xml:space="preserve"> Médico de Beacon </w:t>
      </w:r>
      <w:proofErr w:type="spellStart"/>
      <w:r w:rsidRPr="00B149F7">
        <w:rPr>
          <w:rFonts w:asciiTheme="minorHAnsi" w:hAnsiTheme="minorHAnsi" w:cstheme="minorHAnsi"/>
        </w:rPr>
        <w:t>Therapeutics</w:t>
      </w:r>
      <w:proofErr w:type="spellEnd"/>
      <w:r w:rsidRPr="00B149F7">
        <w:rPr>
          <w:rFonts w:asciiTheme="minorHAnsi" w:hAnsiTheme="minorHAnsi" w:cstheme="minorHAnsi"/>
        </w:rPr>
        <w:t xml:space="preserve">. “Estos nuevos datos refuerzan nuestra confianza en el potencial de </w:t>
      </w:r>
      <w:proofErr w:type="spellStart"/>
      <w:r w:rsidRPr="00B149F7">
        <w:rPr>
          <w:rFonts w:asciiTheme="minorHAnsi" w:hAnsiTheme="minorHAnsi" w:cstheme="minorHAnsi"/>
        </w:rPr>
        <w:t>laru-zova</w:t>
      </w:r>
      <w:proofErr w:type="spellEnd"/>
      <w:r w:rsidRPr="00B149F7">
        <w:rPr>
          <w:rFonts w:asciiTheme="minorHAnsi" w:hAnsiTheme="minorHAnsi" w:cstheme="minorHAnsi"/>
        </w:rPr>
        <w:t xml:space="preserve"> como una opción de tratamiento significativa para personas con XLRP. Esperamos seguir avanzando con </w:t>
      </w:r>
      <w:proofErr w:type="spellStart"/>
      <w:r w:rsidRPr="00B149F7">
        <w:rPr>
          <w:rFonts w:asciiTheme="minorHAnsi" w:hAnsiTheme="minorHAnsi" w:cstheme="minorHAnsi"/>
        </w:rPr>
        <w:t>laru-zova</w:t>
      </w:r>
      <w:proofErr w:type="spellEnd"/>
      <w:r w:rsidRPr="00B149F7">
        <w:rPr>
          <w:rFonts w:asciiTheme="minorHAnsi" w:hAnsiTheme="minorHAnsi" w:cstheme="minorHAnsi"/>
        </w:rPr>
        <w:t xml:space="preserve"> en su desarrollo clínico, al tiempo que colaboramos con los reguladores y la comunidad de pacientes”.</w:t>
      </w:r>
    </w:p>
    <w:p w14:paraId="630E8EEB" w14:textId="7BDBA4EB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B149F7">
        <w:rPr>
          <w:rFonts w:asciiTheme="minorHAnsi" w:hAnsiTheme="minorHAnsi" w:cstheme="minorHAnsi"/>
        </w:rPr>
        <w:t xml:space="preserve">La XLRP es una enfermedad retinal hereditaria que con frecuencia conduce a la ceguera y para la cual no existen opciones de tratamiento disponibles. Generalmente, está causada por mutaciones en el gen RPGR, y afecta aproximadamente a 1 de cada 25 000 hombres en EE. UU., Europa y Australia. </w:t>
      </w:r>
      <w:proofErr w:type="spellStart"/>
      <w:r w:rsidRPr="00B149F7">
        <w:rPr>
          <w:rFonts w:asciiTheme="minorHAnsi" w:hAnsiTheme="minorHAnsi" w:cstheme="minorHAnsi"/>
        </w:rPr>
        <w:t>Laru-zova</w:t>
      </w:r>
      <w:proofErr w:type="spellEnd"/>
      <w:r w:rsidRPr="00B149F7">
        <w:rPr>
          <w:rFonts w:asciiTheme="minorHAnsi" w:hAnsiTheme="minorHAnsi" w:cstheme="minorHAnsi"/>
        </w:rPr>
        <w:t xml:space="preserve"> es una posible terapia génica de referencia diseñada para restaurar la función natural tanto de bastones</w:t>
      </w:r>
      <w:r w:rsidRPr="00887E82">
        <w:rPr>
          <w:rFonts w:asciiTheme="minorHAnsi" w:hAnsiTheme="minorHAnsi" w:cstheme="minorHAnsi"/>
        </w:rPr>
        <w:t xml:space="preserve"> como de conos en XLRP al proporcionar una copia funcional del gen RPGR ORF15 capaz de generar la proteína completa.</w:t>
      </w:r>
    </w:p>
    <w:p w14:paraId="408DC51B" w14:textId="22AC74B1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  <w:b/>
          <w:bCs/>
        </w:rPr>
      </w:pPr>
      <w:r w:rsidRPr="00887E82">
        <w:rPr>
          <w:rFonts w:asciiTheme="minorHAnsi" w:hAnsiTheme="minorHAnsi" w:cstheme="minorHAnsi"/>
          <w:b/>
          <w:bCs/>
        </w:rPr>
        <w:t>Datos clave del estudio DAWN</w:t>
      </w:r>
    </w:p>
    <w:p w14:paraId="19CF80B1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ab/>
        <w:t>•</w:t>
      </w:r>
      <w:r w:rsidRPr="00887E82">
        <w:rPr>
          <w:rFonts w:asciiTheme="minorHAnsi" w:hAnsiTheme="minorHAnsi" w:cstheme="minorHAnsi"/>
        </w:rPr>
        <w:tab/>
        <w:t>Se observaron mejoras tempranas continuadas en LLVA y mejoras tanto tempranas como sostenidas en la sensibilidad media retiniana (</w:t>
      </w:r>
      <w:proofErr w:type="spellStart"/>
      <w:r w:rsidRPr="00887E82">
        <w:rPr>
          <w:rFonts w:asciiTheme="minorHAnsi" w:hAnsiTheme="minorHAnsi" w:cstheme="minorHAnsi"/>
        </w:rPr>
        <w:t>microperimetría</w:t>
      </w:r>
      <w:proofErr w:type="spellEnd"/>
      <w:r w:rsidRPr="00887E82">
        <w:rPr>
          <w:rFonts w:asciiTheme="minorHAnsi" w:hAnsiTheme="minorHAnsi" w:cstheme="minorHAnsi"/>
        </w:rPr>
        <w:t>) en los ojos de estudio evaluados a los 9 meses o más.</w:t>
      </w:r>
    </w:p>
    <w:p w14:paraId="4888BEA6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ab/>
        <w:t>•</w:t>
      </w:r>
      <w:r w:rsidRPr="00887E82">
        <w:rPr>
          <w:rFonts w:asciiTheme="minorHAnsi" w:hAnsiTheme="minorHAnsi" w:cstheme="minorHAnsi"/>
        </w:rPr>
        <w:tab/>
      </w:r>
      <w:proofErr w:type="spellStart"/>
      <w:r w:rsidRPr="00887E82">
        <w:rPr>
          <w:rFonts w:asciiTheme="minorHAnsi" w:hAnsiTheme="minorHAnsi" w:cstheme="minorHAnsi"/>
        </w:rPr>
        <w:t>Laru-zova</w:t>
      </w:r>
      <w:proofErr w:type="spellEnd"/>
      <w:r w:rsidRPr="00887E82">
        <w:rPr>
          <w:rFonts w:asciiTheme="minorHAnsi" w:hAnsiTheme="minorHAnsi" w:cstheme="minorHAnsi"/>
        </w:rPr>
        <w:t xml:space="preserve"> continuó siendo bien tolerada por todos los participantes evaluados a partir de los 9 meses.</w:t>
      </w:r>
    </w:p>
    <w:p w14:paraId="4106B08F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</w:p>
    <w:p w14:paraId="66B4BF98" w14:textId="77777777" w:rsid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</w:p>
    <w:p w14:paraId="598E05B2" w14:textId="77777777" w:rsid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</w:p>
    <w:p w14:paraId="38B03804" w14:textId="3F271644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  <w:b/>
          <w:bCs/>
        </w:rPr>
      </w:pPr>
      <w:r w:rsidRPr="00887E82">
        <w:rPr>
          <w:rFonts w:asciiTheme="minorHAnsi" w:hAnsiTheme="minorHAnsi" w:cstheme="minorHAnsi"/>
          <w:b/>
          <w:bCs/>
        </w:rPr>
        <w:lastRenderedPageBreak/>
        <w:t>Datos clave del estudio SKYLINE</w:t>
      </w:r>
    </w:p>
    <w:p w14:paraId="5B61B1AA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ab/>
        <w:t>•</w:t>
      </w:r>
      <w:r w:rsidRPr="00887E82">
        <w:rPr>
          <w:rFonts w:asciiTheme="minorHAnsi" w:hAnsiTheme="minorHAnsi" w:cstheme="minorHAnsi"/>
        </w:rPr>
        <w:tab/>
        <w:t xml:space="preserve">Los participantes que recibieron la dosis alta de </w:t>
      </w:r>
      <w:proofErr w:type="spellStart"/>
      <w:r w:rsidRPr="00887E82">
        <w:rPr>
          <w:rFonts w:asciiTheme="minorHAnsi" w:hAnsiTheme="minorHAnsi" w:cstheme="minorHAnsi"/>
        </w:rPr>
        <w:t>laru-zova</w:t>
      </w:r>
      <w:proofErr w:type="spellEnd"/>
      <w:r w:rsidRPr="00887E82">
        <w:rPr>
          <w:rFonts w:asciiTheme="minorHAnsi" w:hAnsiTheme="minorHAnsi" w:cstheme="minorHAnsi"/>
        </w:rPr>
        <w:t xml:space="preserve"> mostraron mejoras duraderas en la sensibilidad retiniana hasta los 36 meses (medida por </w:t>
      </w:r>
      <w:proofErr w:type="spellStart"/>
      <w:r w:rsidRPr="00887E82">
        <w:rPr>
          <w:rFonts w:asciiTheme="minorHAnsi" w:hAnsiTheme="minorHAnsi" w:cstheme="minorHAnsi"/>
        </w:rPr>
        <w:t>microperimetría</w:t>
      </w:r>
      <w:proofErr w:type="spellEnd"/>
      <w:r w:rsidRPr="00887E82">
        <w:rPr>
          <w:rFonts w:asciiTheme="minorHAnsi" w:hAnsiTheme="minorHAnsi" w:cstheme="minorHAnsi"/>
        </w:rPr>
        <w:t>).</w:t>
      </w:r>
    </w:p>
    <w:p w14:paraId="4DE9BA26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ab/>
        <w:t>•</w:t>
      </w:r>
      <w:r w:rsidRPr="00887E82">
        <w:rPr>
          <w:rFonts w:asciiTheme="minorHAnsi" w:hAnsiTheme="minorHAnsi" w:cstheme="minorHAnsi"/>
        </w:rPr>
        <w:tab/>
        <w:t>La tasa de respuesta fue mayor en el ojo tratado con dosis alta comparado con el grupo de dosis baja o el ojo no tratado.</w:t>
      </w:r>
    </w:p>
    <w:p w14:paraId="1A971328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ab/>
        <w:t>•</w:t>
      </w:r>
      <w:r w:rsidRPr="00887E82">
        <w:rPr>
          <w:rFonts w:asciiTheme="minorHAnsi" w:hAnsiTheme="minorHAnsi" w:cstheme="minorHAnsi"/>
        </w:rPr>
        <w:tab/>
      </w:r>
      <w:proofErr w:type="spellStart"/>
      <w:r w:rsidRPr="00887E82">
        <w:rPr>
          <w:rFonts w:asciiTheme="minorHAnsi" w:hAnsiTheme="minorHAnsi" w:cstheme="minorHAnsi"/>
        </w:rPr>
        <w:t>Laru-zova</w:t>
      </w:r>
      <w:proofErr w:type="spellEnd"/>
      <w:r w:rsidRPr="00887E82">
        <w:rPr>
          <w:rFonts w:asciiTheme="minorHAnsi" w:hAnsiTheme="minorHAnsi" w:cstheme="minorHAnsi"/>
        </w:rPr>
        <w:t xml:space="preserve"> fue bien tolerada por participantes en ambos grupos de dosis (alta y baja) durante los 36 meses.</w:t>
      </w:r>
    </w:p>
    <w:p w14:paraId="30C6A6B8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</w:p>
    <w:p w14:paraId="478CDB6F" w14:textId="273FC9CB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 xml:space="preserve">Beacon está evaluando además la LLVA como punto final primario en el ensayo pivotante VISTA de </w:t>
      </w:r>
      <w:proofErr w:type="spellStart"/>
      <w:r w:rsidRPr="00887E82">
        <w:rPr>
          <w:rFonts w:asciiTheme="minorHAnsi" w:hAnsiTheme="minorHAnsi" w:cstheme="minorHAnsi"/>
        </w:rPr>
        <w:t>laru-zova</w:t>
      </w:r>
      <w:proofErr w:type="spellEnd"/>
      <w:r w:rsidRPr="00887E82">
        <w:rPr>
          <w:rFonts w:asciiTheme="minorHAnsi" w:hAnsiTheme="minorHAnsi" w:cstheme="minorHAnsi"/>
        </w:rPr>
        <w:t xml:space="preserve"> para el tratamiento de XLRP. La inscripción en este estudio ya fue completada y se espera reportar los datos principales en la segunda mitad de 2026.</w:t>
      </w:r>
    </w:p>
    <w:p w14:paraId="01CB1DC0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>Detalles de las presentaciones:</w:t>
      </w:r>
    </w:p>
    <w:p w14:paraId="6840FBDB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ab/>
        <w:t>•</w:t>
      </w:r>
      <w:r w:rsidRPr="00887E82">
        <w:rPr>
          <w:rFonts w:asciiTheme="minorHAnsi" w:hAnsiTheme="minorHAnsi" w:cstheme="minorHAnsi"/>
        </w:rPr>
        <w:tab/>
        <w:t xml:space="preserve">Título: Terapia génica </w:t>
      </w:r>
      <w:proofErr w:type="spellStart"/>
      <w:r w:rsidRPr="00887E82">
        <w:rPr>
          <w:rFonts w:asciiTheme="minorHAnsi" w:hAnsiTheme="minorHAnsi" w:cstheme="minorHAnsi"/>
        </w:rPr>
        <w:t>subretiniana</w:t>
      </w:r>
      <w:proofErr w:type="spellEnd"/>
      <w:r w:rsidRPr="00887E82">
        <w:rPr>
          <w:rFonts w:asciiTheme="minorHAnsi" w:hAnsiTheme="minorHAnsi" w:cstheme="minorHAnsi"/>
        </w:rPr>
        <w:t xml:space="preserve"> </w:t>
      </w:r>
      <w:proofErr w:type="spellStart"/>
      <w:r w:rsidRPr="00887E82">
        <w:rPr>
          <w:rFonts w:asciiTheme="minorHAnsi" w:hAnsiTheme="minorHAnsi" w:cstheme="minorHAnsi"/>
        </w:rPr>
        <w:t>laru-zova</w:t>
      </w:r>
      <w:proofErr w:type="spellEnd"/>
      <w:r w:rsidRPr="00887E82">
        <w:rPr>
          <w:rFonts w:asciiTheme="minorHAnsi" w:hAnsiTheme="minorHAnsi" w:cstheme="minorHAnsi"/>
        </w:rPr>
        <w:t xml:space="preserve"> para XLRP: ensayo fase 2 DAWN, resultados preliminares a 9 meses o más</w:t>
      </w:r>
    </w:p>
    <w:p w14:paraId="200AE7BD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 xml:space="preserve">Presentador: Dr. Rajiv Anand, Texas Retina </w:t>
      </w:r>
      <w:proofErr w:type="spellStart"/>
      <w:r w:rsidRPr="00887E82">
        <w:rPr>
          <w:rFonts w:asciiTheme="minorHAnsi" w:hAnsiTheme="minorHAnsi" w:cstheme="minorHAnsi"/>
        </w:rPr>
        <w:t>Associates</w:t>
      </w:r>
      <w:proofErr w:type="spellEnd"/>
      <w:r w:rsidRPr="00887E82">
        <w:rPr>
          <w:rFonts w:asciiTheme="minorHAnsi" w:hAnsiTheme="minorHAnsi" w:cstheme="minorHAnsi"/>
        </w:rPr>
        <w:t xml:space="preserve"> y Retina </w:t>
      </w:r>
      <w:proofErr w:type="spellStart"/>
      <w:r w:rsidRPr="00887E82">
        <w:rPr>
          <w:rFonts w:asciiTheme="minorHAnsi" w:hAnsiTheme="minorHAnsi" w:cstheme="minorHAnsi"/>
        </w:rPr>
        <w:t>Foundation</w:t>
      </w:r>
      <w:proofErr w:type="spellEnd"/>
      <w:r w:rsidRPr="00887E82">
        <w:rPr>
          <w:rFonts w:asciiTheme="minorHAnsi" w:hAnsiTheme="minorHAnsi" w:cstheme="minorHAnsi"/>
        </w:rPr>
        <w:t xml:space="preserve"> </w:t>
      </w:r>
      <w:proofErr w:type="spellStart"/>
      <w:r w:rsidRPr="00887E82">
        <w:rPr>
          <w:rFonts w:asciiTheme="minorHAnsi" w:hAnsiTheme="minorHAnsi" w:cstheme="minorHAnsi"/>
        </w:rPr>
        <w:t>of</w:t>
      </w:r>
      <w:proofErr w:type="spellEnd"/>
      <w:r w:rsidRPr="00887E82">
        <w:rPr>
          <w:rFonts w:asciiTheme="minorHAnsi" w:hAnsiTheme="minorHAnsi" w:cstheme="minorHAnsi"/>
        </w:rPr>
        <w:t xml:space="preserve"> </w:t>
      </w:r>
      <w:proofErr w:type="spellStart"/>
      <w:r w:rsidRPr="00887E82">
        <w:rPr>
          <w:rFonts w:asciiTheme="minorHAnsi" w:hAnsiTheme="minorHAnsi" w:cstheme="minorHAnsi"/>
        </w:rPr>
        <w:t>the</w:t>
      </w:r>
      <w:proofErr w:type="spellEnd"/>
      <w:r w:rsidRPr="00887E82">
        <w:rPr>
          <w:rFonts w:asciiTheme="minorHAnsi" w:hAnsiTheme="minorHAnsi" w:cstheme="minorHAnsi"/>
        </w:rPr>
        <w:t xml:space="preserve"> </w:t>
      </w:r>
      <w:proofErr w:type="spellStart"/>
      <w:r w:rsidRPr="00887E82">
        <w:rPr>
          <w:rFonts w:asciiTheme="minorHAnsi" w:hAnsiTheme="minorHAnsi" w:cstheme="minorHAnsi"/>
        </w:rPr>
        <w:t>Southwest</w:t>
      </w:r>
      <w:proofErr w:type="spellEnd"/>
    </w:p>
    <w:p w14:paraId="5D690CB5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 xml:space="preserve">Fecha: </w:t>
      </w:r>
      <w:proofErr w:type="gramStart"/>
      <w:r w:rsidRPr="00887E82">
        <w:rPr>
          <w:rFonts w:asciiTheme="minorHAnsi" w:hAnsiTheme="minorHAnsi" w:cstheme="minorHAnsi"/>
        </w:rPr>
        <w:t>Jueves</w:t>
      </w:r>
      <w:proofErr w:type="gramEnd"/>
      <w:r w:rsidRPr="00887E82">
        <w:rPr>
          <w:rFonts w:asciiTheme="minorHAnsi" w:hAnsiTheme="minorHAnsi" w:cstheme="minorHAnsi"/>
        </w:rPr>
        <w:t>, 4 de septiembre de 2025</w:t>
      </w:r>
    </w:p>
    <w:p w14:paraId="22196DCC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ab/>
        <w:t>•</w:t>
      </w:r>
      <w:r w:rsidRPr="00887E82">
        <w:rPr>
          <w:rFonts w:asciiTheme="minorHAnsi" w:hAnsiTheme="minorHAnsi" w:cstheme="minorHAnsi"/>
        </w:rPr>
        <w:tab/>
        <w:t xml:space="preserve">Título: Terapia génica </w:t>
      </w:r>
      <w:proofErr w:type="spellStart"/>
      <w:r w:rsidRPr="00887E82">
        <w:rPr>
          <w:rFonts w:asciiTheme="minorHAnsi" w:hAnsiTheme="minorHAnsi" w:cstheme="minorHAnsi"/>
        </w:rPr>
        <w:t>subretiniana</w:t>
      </w:r>
      <w:proofErr w:type="spellEnd"/>
      <w:r w:rsidRPr="00887E82">
        <w:rPr>
          <w:rFonts w:asciiTheme="minorHAnsi" w:hAnsiTheme="minorHAnsi" w:cstheme="minorHAnsi"/>
        </w:rPr>
        <w:t xml:space="preserve"> </w:t>
      </w:r>
      <w:proofErr w:type="spellStart"/>
      <w:r w:rsidRPr="00887E82">
        <w:rPr>
          <w:rFonts w:asciiTheme="minorHAnsi" w:hAnsiTheme="minorHAnsi" w:cstheme="minorHAnsi"/>
        </w:rPr>
        <w:t>laru-zova</w:t>
      </w:r>
      <w:proofErr w:type="spellEnd"/>
      <w:r w:rsidRPr="00887E82">
        <w:rPr>
          <w:rFonts w:asciiTheme="minorHAnsi" w:hAnsiTheme="minorHAnsi" w:cstheme="minorHAnsi"/>
        </w:rPr>
        <w:t xml:space="preserve"> para XLRP: resultados a 36 meses del ensayo fase 2 SKYLINE, aleatorizado y controlado</w:t>
      </w:r>
    </w:p>
    <w:p w14:paraId="4495F01E" w14:textId="77777777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 xml:space="preserve">Presentador: Dr. Paul Yang, </w:t>
      </w:r>
      <w:proofErr w:type="spellStart"/>
      <w:r w:rsidRPr="00887E82">
        <w:rPr>
          <w:rFonts w:asciiTheme="minorHAnsi" w:hAnsiTheme="minorHAnsi" w:cstheme="minorHAnsi"/>
        </w:rPr>
        <w:t>Chief</w:t>
      </w:r>
      <w:proofErr w:type="spellEnd"/>
      <w:r w:rsidRPr="00887E82">
        <w:rPr>
          <w:rFonts w:asciiTheme="minorHAnsi" w:hAnsiTheme="minorHAnsi" w:cstheme="minorHAnsi"/>
        </w:rPr>
        <w:t xml:space="preserve">, </w:t>
      </w:r>
      <w:proofErr w:type="spellStart"/>
      <w:r w:rsidRPr="00887E82">
        <w:rPr>
          <w:rFonts w:asciiTheme="minorHAnsi" w:hAnsiTheme="minorHAnsi" w:cstheme="minorHAnsi"/>
        </w:rPr>
        <w:t>Ophthalmic</w:t>
      </w:r>
      <w:proofErr w:type="spellEnd"/>
      <w:r w:rsidRPr="00887E82">
        <w:rPr>
          <w:rFonts w:asciiTheme="minorHAnsi" w:hAnsiTheme="minorHAnsi" w:cstheme="minorHAnsi"/>
        </w:rPr>
        <w:t xml:space="preserve"> </w:t>
      </w:r>
      <w:proofErr w:type="spellStart"/>
      <w:r w:rsidRPr="00887E82">
        <w:rPr>
          <w:rFonts w:asciiTheme="minorHAnsi" w:hAnsiTheme="minorHAnsi" w:cstheme="minorHAnsi"/>
        </w:rPr>
        <w:t>Genetics</w:t>
      </w:r>
      <w:proofErr w:type="spellEnd"/>
      <w:r w:rsidRPr="00887E82">
        <w:rPr>
          <w:rFonts w:asciiTheme="minorHAnsi" w:hAnsiTheme="minorHAnsi" w:cstheme="minorHAnsi"/>
        </w:rPr>
        <w:t xml:space="preserve"> </w:t>
      </w:r>
      <w:proofErr w:type="spellStart"/>
      <w:r w:rsidRPr="00887E82">
        <w:rPr>
          <w:rFonts w:asciiTheme="minorHAnsi" w:hAnsiTheme="minorHAnsi" w:cstheme="minorHAnsi"/>
        </w:rPr>
        <w:t>Division</w:t>
      </w:r>
      <w:proofErr w:type="spellEnd"/>
      <w:r w:rsidRPr="00887E82">
        <w:rPr>
          <w:rFonts w:asciiTheme="minorHAnsi" w:hAnsiTheme="minorHAnsi" w:cstheme="minorHAnsi"/>
        </w:rPr>
        <w:t xml:space="preserve">, Casey </w:t>
      </w:r>
      <w:proofErr w:type="spellStart"/>
      <w:r w:rsidRPr="00887E82">
        <w:rPr>
          <w:rFonts w:asciiTheme="minorHAnsi" w:hAnsiTheme="minorHAnsi" w:cstheme="minorHAnsi"/>
        </w:rPr>
        <w:t>Eye</w:t>
      </w:r>
      <w:proofErr w:type="spellEnd"/>
      <w:r w:rsidRPr="00887E82">
        <w:rPr>
          <w:rFonts w:asciiTheme="minorHAnsi" w:hAnsiTheme="minorHAnsi" w:cstheme="minorHAnsi"/>
        </w:rPr>
        <w:t xml:space="preserve"> </w:t>
      </w:r>
      <w:proofErr w:type="spellStart"/>
      <w:r w:rsidRPr="00887E82">
        <w:rPr>
          <w:rFonts w:asciiTheme="minorHAnsi" w:hAnsiTheme="minorHAnsi" w:cstheme="minorHAnsi"/>
        </w:rPr>
        <w:t>Institute</w:t>
      </w:r>
      <w:proofErr w:type="spellEnd"/>
      <w:r w:rsidRPr="00887E82">
        <w:rPr>
          <w:rFonts w:asciiTheme="minorHAnsi" w:hAnsiTheme="minorHAnsi" w:cstheme="minorHAnsi"/>
        </w:rPr>
        <w:t>, OHSU</w:t>
      </w:r>
    </w:p>
    <w:p w14:paraId="28023D81" w14:textId="50354909" w:rsidR="00887E82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 xml:space="preserve">Fecha: </w:t>
      </w:r>
      <w:proofErr w:type="gramStart"/>
      <w:r w:rsidRPr="00887E82">
        <w:rPr>
          <w:rFonts w:asciiTheme="minorHAnsi" w:hAnsiTheme="minorHAnsi" w:cstheme="minorHAnsi"/>
        </w:rPr>
        <w:t>Jueves</w:t>
      </w:r>
      <w:proofErr w:type="gramEnd"/>
      <w:r w:rsidRPr="00887E82">
        <w:rPr>
          <w:rFonts w:asciiTheme="minorHAnsi" w:hAnsiTheme="minorHAnsi" w:cstheme="minorHAnsi"/>
        </w:rPr>
        <w:t>, 4 de septiembre de 2025</w:t>
      </w:r>
    </w:p>
    <w:p w14:paraId="6427A2D6" w14:textId="78FE55FA" w:rsidR="003630C7" w:rsidRPr="00887E82" w:rsidRDefault="00887E82" w:rsidP="00887E82">
      <w:pPr>
        <w:pStyle w:val="selectable-text"/>
        <w:jc w:val="both"/>
        <w:divId w:val="612397728"/>
        <w:rPr>
          <w:rFonts w:asciiTheme="minorHAnsi" w:hAnsiTheme="minorHAnsi" w:cstheme="minorHAnsi"/>
        </w:rPr>
      </w:pPr>
      <w:r w:rsidRPr="00887E82">
        <w:rPr>
          <w:rFonts w:asciiTheme="minorHAnsi" w:hAnsiTheme="minorHAnsi" w:cstheme="minorHAnsi"/>
        </w:rPr>
        <w:t xml:space="preserve">Nota: </w:t>
      </w:r>
      <w:proofErr w:type="spellStart"/>
      <w:r w:rsidRPr="00887E82">
        <w:rPr>
          <w:rFonts w:asciiTheme="minorHAnsi" w:hAnsiTheme="minorHAnsi" w:cstheme="minorHAnsi"/>
        </w:rPr>
        <w:t>Laru-zova</w:t>
      </w:r>
      <w:proofErr w:type="spellEnd"/>
      <w:r w:rsidRPr="00887E82">
        <w:rPr>
          <w:rFonts w:asciiTheme="minorHAnsi" w:hAnsiTheme="minorHAnsi" w:cstheme="minorHAnsi"/>
        </w:rPr>
        <w:t xml:space="preserve"> (</w:t>
      </w:r>
      <w:proofErr w:type="spellStart"/>
      <w:r w:rsidRPr="00887E82">
        <w:rPr>
          <w:rFonts w:asciiTheme="minorHAnsi" w:hAnsiTheme="minorHAnsi" w:cstheme="minorHAnsi"/>
        </w:rPr>
        <w:t>laruparetigene</w:t>
      </w:r>
      <w:proofErr w:type="spellEnd"/>
      <w:r w:rsidRPr="00887E82">
        <w:rPr>
          <w:rFonts w:asciiTheme="minorHAnsi" w:hAnsiTheme="minorHAnsi" w:cstheme="minorHAnsi"/>
        </w:rPr>
        <w:t xml:space="preserve"> </w:t>
      </w:r>
      <w:proofErr w:type="spellStart"/>
      <w:r w:rsidRPr="00887E82">
        <w:rPr>
          <w:rFonts w:asciiTheme="minorHAnsi" w:hAnsiTheme="minorHAnsi" w:cstheme="minorHAnsi"/>
        </w:rPr>
        <w:t>zovaparvovec</w:t>
      </w:r>
      <w:proofErr w:type="spellEnd"/>
      <w:r w:rsidRPr="00887E82">
        <w:rPr>
          <w:rFonts w:asciiTheme="minorHAnsi" w:hAnsiTheme="minorHAnsi" w:cstheme="minorHAnsi"/>
        </w:rPr>
        <w:t>) está en investigación y no ha sido aprobada por la FDA.</w:t>
      </w:r>
    </w:p>
    <w:p w14:paraId="505E83DC" w14:textId="77777777" w:rsidR="00B149F7" w:rsidRDefault="00B149F7" w:rsidP="00B149F7">
      <w:pPr>
        <w:pStyle w:val="selectable-tex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Fuente original: </w:t>
      </w:r>
      <w:hyperlink r:id="rId7" w:history="1">
        <w:r w:rsidRPr="009E6C3E">
          <w:rPr>
            <w:rStyle w:val="Hipervnculo"/>
            <w:rFonts w:asciiTheme="minorHAnsi" w:hAnsiTheme="minorHAnsi" w:cstheme="minorHAnsi"/>
            <w:b/>
            <w:bCs/>
          </w:rPr>
          <w:t>https://www.beacontx.com/news-and-events/beacon-therapeutics-announces-positive-interim-9-month-results-fromdawn-trial-and-36-month-phase-2-skyline-trial-data-for-laru-zova-in-patients/</w:t>
        </w:r>
      </w:hyperlink>
    </w:p>
    <w:p w14:paraId="15715693" w14:textId="534C27FA" w:rsidR="001354AB" w:rsidRPr="009B70C3" w:rsidRDefault="001354AB" w:rsidP="009B70C3">
      <w:pPr>
        <w:rPr>
          <w:rFonts w:asciiTheme="minorHAnsi" w:hAnsiTheme="minorHAnsi" w:cstheme="minorHAnsi"/>
          <w:sz w:val="24"/>
          <w:szCs w:val="24"/>
        </w:rPr>
      </w:pPr>
    </w:p>
    <w:sectPr w:rsidR="001354AB" w:rsidRPr="009B70C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77D9" w14:textId="77777777" w:rsidR="00B149F7" w:rsidRDefault="00B149F7" w:rsidP="00B149F7">
      <w:r>
        <w:separator/>
      </w:r>
    </w:p>
  </w:endnote>
  <w:endnote w:type="continuationSeparator" w:id="0">
    <w:p w14:paraId="5A218601" w14:textId="77777777" w:rsidR="00B149F7" w:rsidRDefault="00B149F7" w:rsidP="00B1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8389" w14:textId="77777777" w:rsidR="00B149F7" w:rsidRDefault="00B149F7" w:rsidP="00B149F7">
      <w:r>
        <w:separator/>
      </w:r>
    </w:p>
  </w:footnote>
  <w:footnote w:type="continuationSeparator" w:id="0">
    <w:p w14:paraId="72BCEBF7" w14:textId="77777777" w:rsidR="00B149F7" w:rsidRDefault="00B149F7" w:rsidP="00B1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D20B" w14:textId="18C50398" w:rsidR="00B149F7" w:rsidRDefault="00B149F7">
    <w:pPr>
      <w:pStyle w:val="Encabezado"/>
    </w:pPr>
    <w:r>
      <w:t>05/09/25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5C75"/>
    <w:multiLevelType w:val="hybridMultilevel"/>
    <w:tmpl w:val="F31E7E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AB"/>
    <w:rsid w:val="001354AB"/>
    <w:rsid w:val="001E1269"/>
    <w:rsid w:val="003630C7"/>
    <w:rsid w:val="00404F23"/>
    <w:rsid w:val="00887E82"/>
    <w:rsid w:val="009B70C3"/>
    <w:rsid w:val="00B149F7"/>
    <w:rsid w:val="00B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DDC5"/>
  <w15:chartTrackingRefBased/>
  <w15:docId w15:val="{33A8E6A4-E696-41B0-9239-084CB97D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AB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cepastedcontent1">
    <w:name w:val="mcepastedcontent1"/>
    <w:basedOn w:val="Normal"/>
    <w:rsid w:val="001354AB"/>
    <w:pPr>
      <w:spacing w:line="480" w:lineRule="auto"/>
    </w:pPr>
    <w:rPr>
      <w:rFonts w:ascii="Helvetica" w:hAnsi="Helvetica" w:cs="Helvetic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354AB"/>
    <w:rPr>
      <w:b/>
      <w:bCs/>
    </w:rPr>
  </w:style>
  <w:style w:type="paragraph" w:styleId="Prrafodelista">
    <w:name w:val="List Paragraph"/>
    <w:basedOn w:val="Normal"/>
    <w:uiPriority w:val="34"/>
    <w:qFormat/>
    <w:rsid w:val="009B70C3"/>
    <w:pPr>
      <w:ind w:left="720"/>
      <w:contextualSpacing/>
    </w:pPr>
  </w:style>
  <w:style w:type="paragraph" w:customStyle="1" w:styleId="selectable-text">
    <w:name w:val="selectable-text"/>
    <w:basedOn w:val="Normal"/>
    <w:rsid w:val="003630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uentedeprrafopredeter"/>
    <w:rsid w:val="003630C7"/>
  </w:style>
  <w:style w:type="character" w:styleId="Hipervnculo">
    <w:name w:val="Hyperlink"/>
    <w:basedOn w:val="Fuentedeprrafopredeter"/>
    <w:uiPriority w:val="99"/>
    <w:unhideWhenUsed/>
    <w:rsid w:val="003630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30C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149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49F7"/>
    <w:rPr>
      <w:rFonts w:ascii="Calibri" w:hAnsi="Calibri" w:cs="Calibri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49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F7"/>
    <w:rPr>
      <w:rFonts w:ascii="Calibri" w:hAnsi="Calibri" w:cs="Calibri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acontx.com/news-and-events/beacon-therapeutics-announces-positive-interim-9-month-results-fromdawn-trial-and-36-month-phase-2-skyline-trial-data-for-laru-zova-in-pati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Retinosis Farpe</dc:creator>
  <cp:keywords/>
  <dc:description/>
  <cp:lastModifiedBy>Retinosis Farpe</cp:lastModifiedBy>
  <cp:revision>1</cp:revision>
  <dcterms:created xsi:type="dcterms:W3CDTF">2025-09-05T08:21:00Z</dcterms:created>
  <dcterms:modified xsi:type="dcterms:W3CDTF">2025-09-05T11:02:00Z</dcterms:modified>
</cp:coreProperties>
</file>